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2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представителя административного органа - старшего специалиста 2 разряда Межрайонной ИФНС России № 1 по Ханты-Мансийскому автономному округу-Югре </w:t>
      </w:r>
      <w:r>
        <w:rPr>
          <w:rStyle w:val="cat-FIOgrp-2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8"/>
          <w:szCs w:val="28"/>
        </w:rPr>
        <w:t>819-2806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части 1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15.11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административном правонарушении в отношении должностного лица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 обеспечения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учета Департамента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изической культуры и спорта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Кулагиной </w:t>
      </w:r>
      <w:r>
        <w:rPr>
          <w:rStyle w:val="cat-UserDefinedgrp-4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7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и проживающей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right="11" w:firstLine="709"/>
        <w:jc w:val="both"/>
        <w:rPr>
          <w:sz w:val="28"/>
          <w:szCs w:val="28"/>
        </w:rPr>
      </w:pPr>
      <w:r>
        <w:rPr>
          <w:rStyle w:val="cat-FIOgrp-22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должностным лицом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начальником отдела финансово-экономического обеспечения и бюджетного учета Департамента Физической культуры и спорта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10.02.2024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часов 01 минуту допустила грубое нарушение требований к бухгалтерскому учету, а именно исказила показ</w:t>
      </w:r>
      <w:r>
        <w:rPr>
          <w:rFonts w:ascii="Times New Roman" w:eastAsia="Times New Roman" w:hAnsi="Times New Roman" w:cs="Times New Roman"/>
          <w:sz w:val="28"/>
          <w:szCs w:val="28"/>
        </w:rPr>
        <w:t>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бухгал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терской (финансовой) отчетности, </w:t>
      </w:r>
      <w:r>
        <w:rPr>
          <w:rFonts w:ascii="Times New Roman" w:eastAsia="Times New Roman" w:hAnsi="Times New Roman" w:cs="Times New Roman"/>
          <w:sz w:val="28"/>
          <w:szCs w:val="28"/>
        </w:rPr>
        <w:t>выражен</w:t>
      </w:r>
      <w:r>
        <w:rPr>
          <w:rFonts w:ascii="Times New Roman" w:eastAsia="Times New Roman" w:hAnsi="Times New Roman" w:cs="Times New Roman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sz w:val="28"/>
          <w:szCs w:val="28"/>
        </w:rPr>
        <w:t>о в денежном измерении, 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на 10 процентов.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согласно «Сведениям по дебиторской и кредитной задолженности (ф. 0503169) по задолженности Департамента по состоянию на 01.01.2024 числится дебиторская задолженность по счету 205.00 «Расчеты по доходам» в сумме </w:t>
      </w:r>
      <w:r>
        <w:rPr>
          <w:rStyle w:val="cat-Sumgrp-3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4rplc-2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состоит из: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просроченной дебиторской задолженности по счету 205.45 «Расчеты по прочим доходам от сумм принудительного изъятия» согласно разделу 2 Сведений по задолженности на конец 2023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числится просроченная дебиторская задолженность за двумя дебиторами </w:t>
      </w:r>
      <w:r>
        <w:rPr>
          <w:rStyle w:val="cat-FIOgrp-2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31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4rplc-2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>
        <w:rPr>
          <w:rStyle w:val="cat-FIOgrp-2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32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4rplc-30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дебиторская задолженность в сумме </w:t>
      </w:r>
      <w:r>
        <w:rPr>
          <w:rStyle w:val="cat-Sumgrp-3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4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подлежала отражению по счету 209.44 «Расчеты по доходам от возмещения ущерба имуществу (за исключением страховых возмещений), вместо отраженного счета 209.45 «Расчеты по доходам от прочих сумм принудительного изъятия».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помощью защитника не воспользовалась, вину в правонарушении не признала, пояснила, что намерений исказить отчетность у нее не было, ущерб от ее действий бюджету не причинен. Также просила учесть наличие у нее на иждивении малолетних детей.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административного органа </w:t>
      </w:r>
      <w:r>
        <w:rPr>
          <w:rStyle w:val="cat-FIOgrp-23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ущерб правонарушением не причинен бюджету, наказание просил назначить на усмотрение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участников производства по делу об административном правонарушении,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и проанализировав письменные материалы дела,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пришел к следующему.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15.11 КоАП РФ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бухгалтерскому учету, в том числе к бухгалтерской (финансовой) отчетности (за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15.15.6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пят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тысяч до </w:t>
      </w:r>
      <w:r>
        <w:rPr>
          <w:rStyle w:val="cat-SumInWordsgrp-35rplc-3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13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 РФ от 06.12.2011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402-ФЗ </w:t>
      </w:r>
      <w:r>
        <w:rPr>
          <w:rFonts w:ascii="Times New Roman" w:eastAsia="Times New Roman" w:hAnsi="Times New Roman" w:cs="Times New Roman"/>
          <w:sz w:val="28"/>
          <w:szCs w:val="28"/>
        </w:rPr>
        <w:t>«О бухгалтерском учете»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ухгалтерская (финансовая) отчетность должна давать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достоверное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</w:t>
      </w:r>
      <w:r>
        <w:rPr>
          <w:rFonts w:ascii="Times New Roman" w:eastAsia="Times New Roman" w:hAnsi="Times New Roman" w:cs="Times New Roman"/>
          <w:sz w:val="28"/>
          <w:szCs w:val="28"/>
        </w:rPr>
        <w:t>ными и отраслевыми стандартами.</w:t>
      </w:r>
    </w:p>
    <w:p>
      <w:pPr>
        <w:widowControl w:val="0"/>
        <w:spacing w:before="0" w:after="0"/>
        <w:ind w:left="72" w:firstLine="63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eastAsia="Times New Roman" w:hAnsi="Times New Roman" w:cs="Times New Roman"/>
          <w:sz w:val="28"/>
          <w:szCs w:val="28"/>
        </w:rPr>
        <w:t>№ 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</w:rPr>
        <w:t>(Приказ Минфина России от 06.12.2010 № 162н «Об утверждении Плана счетов бюджетного учета и инструкции по его применению») сумма задолженности по возмещению ущерба имуществу, в том числе по финансовым активам (за исключением страховых случаев), отражаются по дебету соответствующих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аналитического учета счет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20944560 «</w:t>
      </w:r>
      <w:r>
        <w:rPr>
          <w:rFonts w:ascii="Times New Roman" w:eastAsia="Times New Roman" w:hAnsi="Times New Roman" w:cs="Times New Roman"/>
          <w:sz w:val="28"/>
          <w:szCs w:val="28"/>
        </w:rPr>
        <w:t>Увеличение дебиторской задолженности по доходам от возмещения ущерба имуществу (за ис</w:t>
      </w:r>
      <w:r>
        <w:rPr>
          <w:rFonts w:ascii="Times New Roman" w:eastAsia="Times New Roman" w:hAnsi="Times New Roman" w:cs="Times New Roman"/>
          <w:sz w:val="28"/>
          <w:szCs w:val="28"/>
        </w:rPr>
        <w:t>ключением страховых возмещений)» и кредиту счетов 040110144 «</w:t>
      </w:r>
      <w:r>
        <w:rPr>
          <w:rFonts w:ascii="Times New Roman" w:eastAsia="Times New Roman" w:hAnsi="Times New Roman" w:cs="Times New Roman"/>
          <w:sz w:val="28"/>
          <w:szCs w:val="28"/>
        </w:rPr>
        <w:t>Доходы от возмещения ущерба имуществу (за ис</w:t>
      </w:r>
      <w:r>
        <w:rPr>
          <w:rFonts w:ascii="Times New Roman" w:eastAsia="Times New Roman" w:hAnsi="Times New Roman" w:cs="Times New Roman"/>
          <w:sz w:val="28"/>
          <w:szCs w:val="28"/>
        </w:rPr>
        <w:t>ключением страховых возмещений)», 040140144 «</w:t>
      </w:r>
      <w:r>
        <w:rPr>
          <w:rFonts w:ascii="Times New Roman" w:eastAsia="Times New Roman" w:hAnsi="Times New Roman" w:cs="Times New Roman"/>
          <w:sz w:val="28"/>
          <w:szCs w:val="28"/>
        </w:rPr>
        <w:t>Доходы будущих периодов от возмещения ущерба имуществу (за ис</w:t>
      </w:r>
      <w:r>
        <w:rPr>
          <w:rFonts w:ascii="Times New Roman" w:eastAsia="Times New Roman" w:hAnsi="Times New Roman" w:cs="Times New Roman"/>
          <w:sz w:val="28"/>
          <w:szCs w:val="28"/>
        </w:rPr>
        <w:t>ключением страховых возмещений».</w:t>
      </w:r>
    </w:p>
    <w:p>
      <w:pPr>
        <w:widowControl w:val="0"/>
        <w:spacing w:before="0" w:after="0"/>
        <w:ind w:right="40"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сведениям по дебиторской и кредиторской задолжен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(ф. 0503169) </w:t>
      </w:r>
      <w:r>
        <w:rPr>
          <w:rFonts w:ascii="Times New Roman" w:eastAsia="Times New Roman" w:hAnsi="Times New Roman" w:cs="Times New Roman"/>
          <w:sz w:val="28"/>
          <w:szCs w:val="28"/>
        </w:rPr>
        <w:t>Депспорта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01.01.2024 числится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просроченная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дебиторская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счету 205.00 «Расчеты по доходам» в сумме </w:t>
      </w:r>
      <w:r>
        <w:rPr>
          <w:rStyle w:val="cat-Sumgrp-30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6rplc-4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просроченной кредиторской задолженности по счету 205.45 «Расчеты по прочим доходам от сумм принудительного изъятия»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разделу 2 </w:t>
      </w:r>
      <w:r>
        <w:rPr>
          <w:rFonts w:ascii="Times New Roman" w:eastAsia="Times New Roman" w:hAnsi="Times New Roman" w:cs="Times New Roman"/>
          <w:sz w:val="28"/>
          <w:szCs w:val="28"/>
        </w:rPr>
        <w:t>«Сведения о просроченной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задолженности на конец 2023 года числится просроченная дебиторская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двумя дебиторами </w:t>
      </w:r>
      <w:r>
        <w:rPr>
          <w:rStyle w:val="cat-FIOgrp-25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31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6rplc-4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26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Style w:val="cat-Sumgrp-32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6rplc-5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дебиторская задолженность в сумме </w:t>
      </w:r>
      <w:r>
        <w:rPr>
          <w:rStyle w:val="cat-Sumgrp-30rplc-5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InWordsgrp-36rplc-5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отражению по счету 209.44 «Расчеты по доходам от возмещения ущерба имуществу (за исключением страховых возмещений</w:t>
      </w:r>
      <w:r>
        <w:rPr>
          <w:rFonts w:ascii="Times New Roman" w:eastAsia="Times New Roman" w:hAnsi="Times New Roman" w:cs="Times New Roman"/>
          <w:sz w:val="28"/>
          <w:szCs w:val="28"/>
        </w:rPr>
        <w:t>)», вместо отраженного счета 205</w:t>
      </w:r>
      <w:r>
        <w:rPr>
          <w:rFonts w:ascii="Times New Roman" w:eastAsia="Times New Roman" w:hAnsi="Times New Roman" w:cs="Times New Roman"/>
          <w:sz w:val="28"/>
          <w:szCs w:val="28"/>
        </w:rPr>
        <w:t>.45 «Расчеты по доходам от прочих сумм принудительного изъятия».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факты свидетельствуют о грубом нарушении требований к бухгалтерскому учету, в том числе к бухгалтерской отчетности (искажение показателей бухгалтерской отчетности Департамента за 2023 год, выраженные в денежном измерении, более чем на 10%).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widowControl w:val="0"/>
        <w:spacing w:before="0" w:after="0"/>
        <w:ind w:left="62" w:right="14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основании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Депспорта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18.11.2019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228</w:t>
      </w:r>
      <w:r>
        <w:rPr>
          <w:rFonts w:ascii="Times New Roman" w:eastAsia="Times New Roman" w:hAnsi="Times New Roman" w:cs="Times New Roman"/>
          <w:sz w:val="28"/>
          <w:szCs w:val="28"/>
        </w:rPr>
        <w:t>-л на должность начальника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финансово-экономического обеспечения и бюджетного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 и 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назначена </w:t>
      </w:r>
      <w:r>
        <w:rPr>
          <w:rStyle w:val="cat-FIOgrp-27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основании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Депспорта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21.11.2022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учетных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 финансово-экономического обеспечения и бюджетного учета «</w:t>
      </w:r>
      <w:r>
        <w:rPr>
          <w:rStyle w:val="cat-UserDefinedgrp-49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 на фамилию «Кулагина».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 приходит к выводу, что </w:t>
      </w:r>
      <w:r>
        <w:rPr>
          <w:rStyle w:val="cat-FIOgrp-22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предусмотренное ч. 1 ст. 15.11 КоАП РФ, то есть г</w:t>
      </w:r>
      <w:r>
        <w:rPr>
          <w:rFonts w:ascii="Times New Roman" w:eastAsia="Times New Roman" w:hAnsi="Times New Roman" w:cs="Times New Roman"/>
          <w:sz w:val="28"/>
          <w:szCs w:val="28"/>
        </w:rPr>
        <w:t>рубое нарушение требований к бухгалтерскому учету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22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86012526700011300001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от 18.11.2019 № 228-л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приказа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перемене фамилии </w:t>
      </w:r>
      <w:r>
        <w:rPr>
          <w:rFonts w:ascii="Times New Roman" w:eastAsia="Times New Roman" w:hAnsi="Times New Roman" w:cs="Times New Roman"/>
          <w:sz w:val="28"/>
          <w:szCs w:val="28"/>
        </w:rPr>
        <w:t>от 21.11.2022 № 256-л;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должностного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финансово-экономического обеспечения и бюджетного учета Департамента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 и 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6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дополнениями в должностной регламент;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ЕГРЮЛ;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приказом от 01.09.2010 № 4;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Положением об отделе финансового-экономического обеспечения и бюджетного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физической культуры и спорта </w:t>
      </w:r>
      <w:r>
        <w:rPr>
          <w:rStyle w:val="cat-Addressgrp-5rplc-7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дебиторской (кредитной)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с</w:t>
      </w:r>
      <w:r>
        <w:rPr>
          <w:rFonts w:ascii="Times New Roman" w:eastAsia="Times New Roman" w:hAnsi="Times New Roman" w:cs="Times New Roman"/>
          <w:sz w:val="28"/>
          <w:szCs w:val="28"/>
        </w:rPr>
        <w:t>правки от 21.10.2024;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постановлением Ханты-Мансийского районного суда от 18.01.2016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22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факту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рубого нарушения требований к бухгалтерскому учету, в том числе к бухгалтерской (финансовой) отчетности,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2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15.11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Смягчающим, административную ответственность обстоятельством является наличие на иждивении малолетних детей, отягчающим, административную ответственность обстоятельством, является повторное совершение однородного правонарушения.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29.6, 29.10 КоАП РФ, мировой судья,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признать должностное лицо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финансово-экономического обеспечения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учета Департамента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изической культуры и спорта </w:t>
      </w:r>
      <w:r>
        <w:rPr>
          <w:rStyle w:val="cat-Addressgrp-1rplc-7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7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Кулагину </w:t>
      </w:r>
      <w:r>
        <w:rPr>
          <w:rStyle w:val="cat-UserDefinedgrp-48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</w:t>
      </w:r>
      <w:r>
        <w:rPr>
          <w:rFonts w:ascii="Times New Roman" w:eastAsia="Times New Roman" w:hAnsi="Times New Roman" w:cs="Times New Roman"/>
          <w:sz w:val="28"/>
          <w:szCs w:val="28"/>
        </w:rPr>
        <w:t>усмотренного частью 1 статьи 15.11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>
        <w:rPr>
          <w:rStyle w:val="cat-Sumgrp-33rplc-7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6rplc-8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8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8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8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6rplc-8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7rplc-8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007162163, ОКТМО 71871000,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0412365400805008192515137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Style w:val="cat-FIOgrp-29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29rplc-9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12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2725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FIOgrp-22rplc-5">
    <w:name w:val="cat-FIO grp-22 rplc-5"/>
    <w:basedOn w:val="DefaultParagraphFont"/>
  </w:style>
  <w:style w:type="character" w:customStyle="1" w:styleId="cat-FIOgrp-23rplc-6">
    <w:name w:val="cat-FIO grp-23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47rplc-10">
    <w:name w:val="cat-UserDefined grp-47 rplc-10"/>
    <w:basedOn w:val="DefaultParagraphFont"/>
  </w:style>
  <w:style w:type="character" w:customStyle="1" w:styleId="cat-ExternalSystemDefinedgrp-46rplc-11">
    <w:name w:val="cat-ExternalSystemDefined grp-46 rplc-11"/>
    <w:basedOn w:val="DefaultParagraphFont"/>
  </w:style>
  <w:style w:type="character" w:customStyle="1" w:styleId="cat-PassportDatagrp-37rplc-12">
    <w:name w:val="cat-PassportData grp-37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22rplc-14">
    <w:name w:val="cat-FIO grp-22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0rplc-18">
    <w:name w:val="cat-Address grp-0 rplc-18"/>
    <w:basedOn w:val="DefaultParagraphFont"/>
  </w:style>
  <w:style w:type="character" w:customStyle="1" w:styleId="cat-Sumgrp-30rplc-22">
    <w:name w:val="cat-Sum grp-30 rplc-22"/>
    <w:basedOn w:val="DefaultParagraphFont"/>
  </w:style>
  <w:style w:type="character" w:customStyle="1" w:styleId="cat-SumInWordsgrp-34rplc-23">
    <w:name w:val="cat-SumInWords grp-34 rplc-23"/>
    <w:basedOn w:val="DefaultParagraphFont"/>
  </w:style>
  <w:style w:type="character" w:customStyle="1" w:styleId="cat-FIOgrp-25rplc-25">
    <w:name w:val="cat-FIO grp-25 rplc-25"/>
    <w:basedOn w:val="DefaultParagraphFont"/>
  </w:style>
  <w:style w:type="character" w:customStyle="1" w:styleId="cat-Sumgrp-31rplc-26">
    <w:name w:val="cat-Sum grp-31 rplc-26"/>
    <w:basedOn w:val="DefaultParagraphFont"/>
  </w:style>
  <w:style w:type="character" w:customStyle="1" w:styleId="cat-SumInWordsgrp-34rplc-27">
    <w:name w:val="cat-SumInWords grp-34 rplc-27"/>
    <w:basedOn w:val="DefaultParagraphFont"/>
  </w:style>
  <w:style w:type="character" w:customStyle="1" w:styleId="cat-FIOgrp-26rplc-28">
    <w:name w:val="cat-FIO grp-26 rplc-28"/>
    <w:basedOn w:val="DefaultParagraphFont"/>
  </w:style>
  <w:style w:type="character" w:customStyle="1" w:styleId="cat-Sumgrp-32rplc-29">
    <w:name w:val="cat-Sum grp-32 rplc-29"/>
    <w:basedOn w:val="DefaultParagraphFont"/>
  </w:style>
  <w:style w:type="character" w:customStyle="1" w:styleId="cat-SumInWordsgrp-34rplc-30">
    <w:name w:val="cat-SumInWords grp-34 rplc-30"/>
    <w:basedOn w:val="DefaultParagraphFont"/>
  </w:style>
  <w:style w:type="character" w:customStyle="1" w:styleId="cat-Sumgrp-30rplc-31">
    <w:name w:val="cat-Sum grp-30 rplc-31"/>
    <w:basedOn w:val="DefaultParagraphFont"/>
  </w:style>
  <w:style w:type="character" w:customStyle="1" w:styleId="cat-SumInWordsgrp-34rplc-32">
    <w:name w:val="cat-SumInWords grp-34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SumInWordsgrp-35rplc-35">
    <w:name w:val="cat-SumInWords grp-35 rplc-35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Sumgrp-30rplc-43">
    <w:name w:val="cat-Sum grp-30 rplc-43"/>
    <w:basedOn w:val="DefaultParagraphFont"/>
  </w:style>
  <w:style w:type="character" w:customStyle="1" w:styleId="cat-SumInWordsgrp-36rplc-44">
    <w:name w:val="cat-SumInWords grp-36 rplc-44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Sumgrp-31rplc-47">
    <w:name w:val="cat-Sum grp-31 rplc-47"/>
    <w:basedOn w:val="DefaultParagraphFont"/>
  </w:style>
  <w:style w:type="character" w:customStyle="1" w:styleId="cat-SumInWordsgrp-36rplc-48">
    <w:name w:val="cat-SumInWords grp-36 rplc-48"/>
    <w:basedOn w:val="DefaultParagraphFont"/>
  </w:style>
  <w:style w:type="character" w:customStyle="1" w:styleId="cat-FIOgrp-26rplc-49">
    <w:name w:val="cat-FIO grp-26 rplc-49"/>
    <w:basedOn w:val="DefaultParagraphFont"/>
  </w:style>
  <w:style w:type="character" w:customStyle="1" w:styleId="cat-Sumgrp-32rplc-50">
    <w:name w:val="cat-Sum grp-32 rplc-50"/>
    <w:basedOn w:val="DefaultParagraphFont"/>
  </w:style>
  <w:style w:type="character" w:customStyle="1" w:styleId="cat-SumInWordsgrp-36rplc-51">
    <w:name w:val="cat-SumInWords grp-36 rplc-51"/>
    <w:basedOn w:val="DefaultParagraphFont"/>
  </w:style>
  <w:style w:type="character" w:customStyle="1" w:styleId="cat-Sumgrp-30rplc-52">
    <w:name w:val="cat-Sum grp-30 rplc-52"/>
    <w:basedOn w:val="DefaultParagraphFont"/>
  </w:style>
  <w:style w:type="character" w:customStyle="1" w:styleId="cat-SumInWordsgrp-36rplc-53">
    <w:name w:val="cat-SumInWords grp-36 rplc-53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FIOgrp-27rplc-58">
    <w:name w:val="cat-FIO grp-27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UserDefinedgrp-49rplc-61">
    <w:name w:val="cat-UserDefined grp-49 rplc-61"/>
    <w:basedOn w:val="DefaultParagraphFont"/>
  </w:style>
  <w:style w:type="character" w:customStyle="1" w:styleId="cat-FIOgrp-22rplc-62">
    <w:name w:val="cat-FIO grp-22 rplc-62"/>
    <w:basedOn w:val="DefaultParagraphFont"/>
  </w:style>
  <w:style w:type="character" w:customStyle="1" w:styleId="cat-FIOgrp-22rplc-63">
    <w:name w:val="cat-FIO grp-22 rplc-63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5rplc-70">
    <w:name w:val="cat-Address grp-5 rplc-70"/>
    <w:basedOn w:val="DefaultParagraphFont"/>
  </w:style>
  <w:style w:type="character" w:customStyle="1" w:styleId="cat-FIOgrp-22rplc-73">
    <w:name w:val="cat-FIO grp-22 rplc-73"/>
    <w:basedOn w:val="DefaultParagraphFont"/>
  </w:style>
  <w:style w:type="character" w:customStyle="1" w:styleId="cat-FIOgrp-22rplc-74">
    <w:name w:val="cat-FIO grp-22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Addressgrp-2rplc-76">
    <w:name w:val="cat-Address grp-2 rplc-76"/>
    <w:basedOn w:val="DefaultParagraphFont"/>
  </w:style>
  <w:style w:type="character" w:customStyle="1" w:styleId="cat-UserDefinedgrp-48rplc-78">
    <w:name w:val="cat-UserDefined grp-48 rplc-78"/>
    <w:basedOn w:val="DefaultParagraphFont"/>
  </w:style>
  <w:style w:type="character" w:customStyle="1" w:styleId="cat-Sumgrp-33rplc-79">
    <w:name w:val="cat-Sum grp-33 rplc-79"/>
    <w:basedOn w:val="DefaultParagraphFont"/>
  </w:style>
  <w:style w:type="character" w:customStyle="1" w:styleId="cat-Addressgrp-6rplc-80">
    <w:name w:val="cat-Address grp-6 rplc-80"/>
    <w:basedOn w:val="DefaultParagraphFont"/>
  </w:style>
  <w:style w:type="character" w:customStyle="1" w:styleId="cat-Addressgrp-2rplc-81">
    <w:name w:val="cat-Address grp-2 rplc-81"/>
    <w:basedOn w:val="DefaultParagraphFont"/>
  </w:style>
  <w:style w:type="character" w:customStyle="1" w:styleId="cat-Addressgrp-1rplc-82">
    <w:name w:val="cat-Address grp-1 rplc-82"/>
    <w:basedOn w:val="DefaultParagraphFont"/>
  </w:style>
  <w:style w:type="character" w:customStyle="1" w:styleId="cat-Addressgrp-2rplc-83">
    <w:name w:val="cat-Address grp-2 rplc-83"/>
    <w:basedOn w:val="DefaultParagraphFont"/>
  </w:style>
  <w:style w:type="character" w:customStyle="1" w:styleId="cat-Addressgrp-6rplc-86">
    <w:name w:val="cat-Address grp-6 rplc-86"/>
    <w:basedOn w:val="DefaultParagraphFont"/>
  </w:style>
  <w:style w:type="character" w:customStyle="1" w:styleId="cat-Addressgrp-7rplc-87">
    <w:name w:val="cat-Address grp-7 rplc-87"/>
    <w:basedOn w:val="DefaultParagraphFont"/>
  </w:style>
  <w:style w:type="character" w:customStyle="1" w:styleId="cat-FIOgrp-29rplc-90">
    <w:name w:val="cat-FIO grp-29 rplc-90"/>
    <w:basedOn w:val="DefaultParagraphFont"/>
  </w:style>
  <w:style w:type="character" w:customStyle="1" w:styleId="cat-FIOgrp-29rplc-91">
    <w:name w:val="cat-FIO grp-29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11" Type="http://schemas.openxmlformats.org/officeDocument/2006/relationships/hyperlink" Target="garantF1://12056199.3" TargetMode="External" /><Relationship Id="rId12" Type="http://schemas.openxmlformats.org/officeDocument/2006/relationships/header" Target="header1.xml" /><Relationship Id="rId13" Type="http://schemas.openxmlformats.org/officeDocument/2006/relationships/glossaryDocument" Target="glossary/document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DEA3F318A23985DEACA1343E6EAB891BF61CCFBB58C37CD91B190521A625637F31DE02877721D856D237F98FB78B7637E356597C6C37A0A33MBH" TargetMode="External" /><Relationship Id="rId5" Type="http://schemas.openxmlformats.org/officeDocument/2006/relationships/hyperlink" Target="consultantplus://offline/ref=3DEA3F318A23985DEACA1343E6EAB891BF6FCBFEBC8B37CD91B190521A625637F31DE0217276158D3F796F9CB22CBE7C7B2A7A94D8C337MFH" TargetMode="External" /><Relationship Id="rId6" Type="http://schemas.openxmlformats.org/officeDocument/2006/relationships/hyperlink" Target="consultantplus://offline/ref=339276097377C5E75A6818F607C1CC8A4B6CC3E99F080D68A4CC90ACB2054C5DE01C925AA1D1876942CD091A276B88B7E14A99AC4A30AAF1K9w4J" TargetMode="External" /><Relationship Id="rId7" Type="http://schemas.openxmlformats.org/officeDocument/2006/relationships/hyperlink" Target="garantf1://12025267.22/" TargetMode="External" /><Relationship Id="rId8" Type="http://schemas.openxmlformats.org/officeDocument/2006/relationships/hyperlink" Target="garantf1://12025267.2201/" TargetMode="External" /><Relationship Id="rId9" Type="http://schemas.openxmlformats.org/officeDocument/2006/relationships/hyperlink" Target="garantf1://12025267.2202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0F14-3E21-413F-9943-DD92FA2D73F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